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462" w:rsidRDefault="005A6462" w:rsidP="005A64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Образовательный минимум</w:t>
      </w:r>
    </w:p>
    <w:tbl>
      <w:tblPr>
        <w:tblpPr w:leftFromText="180" w:rightFromText="180" w:vertAnchor="text" w:horzAnchor="margin" w:tblpXSpec="right" w:tblpY="-18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5"/>
        <w:gridCol w:w="1526"/>
      </w:tblGrid>
      <w:tr w:rsidR="005A6462" w:rsidRPr="005A6462" w:rsidTr="00BD2255">
        <w:trPr>
          <w:trHeight w:val="249"/>
        </w:trPr>
        <w:tc>
          <w:tcPr>
            <w:tcW w:w="1525" w:type="dxa"/>
            <w:shd w:val="clear" w:color="auto" w:fill="auto"/>
          </w:tcPr>
          <w:bookmarkEnd w:id="0"/>
          <w:p w:rsidR="005A6462" w:rsidRPr="005A6462" w:rsidRDefault="005A6462" w:rsidP="005A64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462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26" w:type="dxa"/>
            <w:shd w:val="clear" w:color="auto" w:fill="auto"/>
          </w:tcPr>
          <w:p w:rsidR="005A6462" w:rsidRPr="005A6462" w:rsidRDefault="005A6462" w:rsidP="005A64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46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A6462" w:rsidRPr="005A6462" w:rsidTr="00BD2255">
        <w:trPr>
          <w:trHeight w:val="264"/>
        </w:trPr>
        <w:tc>
          <w:tcPr>
            <w:tcW w:w="1525" w:type="dxa"/>
            <w:shd w:val="clear" w:color="auto" w:fill="auto"/>
          </w:tcPr>
          <w:p w:rsidR="005A6462" w:rsidRPr="005A6462" w:rsidRDefault="005A6462" w:rsidP="005A64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462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26" w:type="dxa"/>
            <w:shd w:val="clear" w:color="auto" w:fill="auto"/>
          </w:tcPr>
          <w:p w:rsidR="005A6462" w:rsidRPr="005A6462" w:rsidRDefault="005A6462" w:rsidP="005A64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462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5A6462" w:rsidRPr="005A6462" w:rsidTr="00BD2255">
        <w:trPr>
          <w:trHeight w:val="280"/>
        </w:trPr>
        <w:tc>
          <w:tcPr>
            <w:tcW w:w="1525" w:type="dxa"/>
            <w:shd w:val="clear" w:color="auto" w:fill="auto"/>
          </w:tcPr>
          <w:p w:rsidR="005A6462" w:rsidRPr="005A6462" w:rsidRDefault="005A6462" w:rsidP="005A64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46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26" w:type="dxa"/>
            <w:shd w:val="clear" w:color="auto" w:fill="auto"/>
          </w:tcPr>
          <w:p w:rsidR="005A6462" w:rsidRPr="005A6462" w:rsidRDefault="005A6462" w:rsidP="005A64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46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5A6462" w:rsidRDefault="005A6462" w:rsidP="005A646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br w:type="textWrapping" w:clear="all"/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7371"/>
      </w:tblGrid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Термин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Определение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Аллегория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иносказание, художественный приём, где конкретное изображение предмета, </w:t>
            </w:r>
            <w:proofErr w:type="gramStart"/>
            <w:r>
              <w:rPr>
                <w:rFonts w:ascii="Times New Roman" w:hAnsi="Times New Roman"/>
              </w:rPr>
              <w:t>человека  или</w:t>
            </w:r>
            <w:proofErr w:type="gramEnd"/>
            <w:r>
              <w:rPr>
                <w:rFonts w:ascii="Times New Roman" w:hAnsi="Times New Roman"/>
              </w:rPr>
              <w:t xml:space="preserve"> явления скрывает абстрактное понятие или мысль.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Гротеск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сатирической типизации, представляющий смешение фантастического и реального, смешного и страшного, возвышенного и низменного.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Эзопов язык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вынужденное иносказание, художественная речь, насыщенная недомолвками и ироническими намёками, намеренно маскирующая идею автора.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Ирония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тропа, употребление слова или выражения в значении, противоположном тому, что подразумевается на самом деле, с целью осмеяния. Тонкая скрытая насмешка.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Сарказм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Язвительная насмешка, с предельной резкостью изобличающая негативное социальное явление или отрицательную черту человека.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Сатира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комического, осмеяние социальных явлений, которые представляются автору достойными уничтожения.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Стадии развития действия в литературном произведении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Экспозиция, завязка, кульминация, развязка.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Экспозиция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Изображение положения действующих лиц, обстоятельств и обстановки, в которой они находятся до начала действия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Завязка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 сюжета, начало конфликта, событие, определяющее последующее развитие действия.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Кульминация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Высшее напряжение действия в художественном произведении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Развязка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Заключительный момент развития действия, разрешение конфликта, итоговая сцена, добавляющая необходимые штрихи к характерам персонажей.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Эпизод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художественного произведения, имеющая относительно самостоятельное значение, которая изображает законченное событие.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Эпилог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Послесловие, необязательный этап сюжета в художественном произведении, </w:t>
            </w:r>
            <w:proofErr w:type="gramStart"/>
            <w:r>
              <w:rPr>
                <w:rFonts w:ascii="Times New Roman" w:hAnsi="Times New Roman"/>
              </w:rPr>
              <w:t>изображающий  судьбы</w:t>
            </w:r>
            <w:proofErr w:type="gramEnd"/>
            <w:r>
              <w:rPr>
                <w:rFonts w:ascii="Times New Roman" w:hAnsi="Times New Roman"/>
              </w:rPr>
              <w:t xml:space="preserve"> персонажей после завершения основного действия.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Эпос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литературы, повествование, характеризующееся изображением событий, внешних по отношению к автору.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Жанры эпоса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Очерк, рассказ, новелла, повесть, роман, эпопея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Роман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повествовательной литературы, развёрнутое во времени и пространстве произведение, в центре которого эпическое повествование о судьбе многих персонажей; круг жизненных явлений, данных в развитии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Эпопея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Наиболее крупный жанр эпической литературы, предполагающий широкое изображение народной жизни в переломные исторические эпохи.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Эпопея в русской литературе </w:t>
            </w:r>
            <w:proofErr w:type="gramStart"/>
            <w:r>
              <w:rPr>
                <w:rFonts w:ascii="Times New Roman" w:hAnsi="Times New Roman"/>
                <w:b/>
                <w:lang w:val="en-US"/>
              </w:rPr>
              <w:t>XIX</w:t>
            </w:r>
            <w:r>
              <w:rPr>
                <w:rFonts w:ascii="Times New Roman" w:hAnsi="Times New Roman"/>
                <w:b/>
              </w:rPr>
              <w:t xml:space="preserve">  века</w:t>
            </w:r>
            <w:proofErr w:type="gramEnd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Роман Л.Н. Толстого </w:t>
            </w:r>
            <w:proofErr w:type="gramStart"/>
            <w:r>
              <w:rPr>
                <w:rFonts w:ascii="Times New Roman" w:hAnsi="Times New Roman"/>
              </w:rPr>
              <w:t>« Война</w:t>
            </w:r>
            <w:proofErr w:type="gramEnd"/>
            <w:r>
              <w:rPr>
                <w:rFonts w:ascii="Times New Roman" w:hAnsi="Times New Roman"/>
              </w:rPr>
              <w:t xml:space="preserve"> и мир»</w:t>
            </w:r>
          </w:p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Поэма Н.А. Некрасова «Кому на Руси жить хорошо»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«Маленький человек»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литературного героя, сложившийся в русской литературе в 30-40 годы </w:t>
            </w:r>
            <w:r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 xml:space="preserve"> века. Как правило, бедный чиновник, незаметный, непримечательный, стоящий на одной из низших ступеней социальной лестницы. </w:t>
            </w:r>
          </w:p>
        </w:tc>
      </w:tr>
      <w:tr w:rsidR="005A6462" w:rsidTr="005A646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 w:rsidP="00BD22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Классические </w:t>
            </w:r>
            <w:proofErr w:type="gramStart"/>
            <w:r>
              <w:rPr>
                <w:rFonts w:ascii="Times New Roman" w:hAnsi="Times New Roman"/>
                <w:b/>
              </w:rPr>
              <w:t>образы  «</w:t>
            </w:r>
            <w:proofErr w:type="gramEnd"/>
            <w:r>
              <w:rPr>
                <w:rFonts w:ascii="Times New Roman" w:hAnsi="Times New Roman"/>
                <w:b/>
              </w:rPr>
              <w:t>маленьких людей»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Самсон </w:t>
            </w:r>
            <w:proofErr w:type="spellStart"/>
            <w:r>
              <w:rPr>
                <w:rFonts w:ascii="Times New Roman" w:hAnsi="Times New Roman"/>
              </w:rPr>
              <w:t>Вырин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( «</w:t>
            </w:r>
            <w:proofErr w:type="gramEnd"/>
            <w:r>
              <w:rPr>
                <w:rFonts w:ascii="Times New Roman" w:hAnsi="Times New Roman"/>
              </w:rPr>
              <w:t>Станционный смотритель»), Евгений («Медный всадник») А. С. Пушкина;</w:t>
            </w:r>
          </w:p>
          <w:p w:rsidR="005A6462" w:rsidRDefault="005A646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Акакий  Акакиевич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Башмачкин</w:t>
            </w:r>
            <w:proofErr w:type="spellEnd"/>
            <w:r>
              <w:rPr>
                <w:rFonts w:ascii="Times New Roman" w:hAnsi="Times New Roman"/>
              </w:rPr>
              <w:t xml:space="preserve">  («Шинель» Н.В. Гоголя), Макар Девушкин («Бедные люди»), Семён Мармеладов («Преступление и наказание» Ф.М. Достоевского)</w:t>
            </w:r>
          </w:p>
        </w:tc>
      </w:tr>
    </w:tbl>
    <w:p w:rsidR="005A6462" w:rsidRDefault="005A6462" w:rsidP="005A6462">
      <w:pPr>
        <w:spacing w:after="0" w:line="240" w:lineRule="auto"/>
        <w:rPr>
          <w:rFonts w:ascii="Times New Roman" w:hAnsi="Times New Roman"/>
        </w:rPr>
      </w:pPr>
    </w:p>
    <w:p w:rsidR="004532EA" w:rsidRDefault="004532EA"/>
    <w:sectPr w:rsidR="00453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50D98"/>
    <w:multiLevelType w:val="hybridMultilevel"/>
    <w:tmpl w:val="66C4C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B8"/>
    <w:rsid w:val="004532EA"/>
    <w:rsid w:val="005A6462"/>
    <w:rsid w:val="006D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6EB85-B81A-4F01-8C4C-A0EFA354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4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7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 RUS</dc:creator>
  <cp:keywords/>
  <dc:description/>
  <cp:lastModifiedBy>Prepod RUS</cp:lastModifiedBy>
  <cp:revision>3</cp:revision>
  <dcterms:created xsi:type="dcterms:W3CDTF">2019-01-11T06:50:00Z</dcterms:created>
  <dcterms:modified xsi:type="dcterms:W3CDTF">2019-01-11T06:51:00Z</dcterms:modified>
</cp:coreProperties>
</file>